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D1" w:rsidRDefault="002804D1" w:rsidP="008157DE">
      <w:pPr>
        <w:ind w:left="0" w:firstLine="0"/>
        <w:jc w:val="left"/>
        <w:rPr>
          <w:rFonts w:asciiTheme="minorHAnsi" w:eastAsiaTheme="minorHAnsi" w:hAnsiTheme="minorHAnsi" w:cs="David"/>
          <w:sz w:val="24"/>
          <w:szCs w:val="24"/>
        </w:rPr>
      </w:pPr>
      <w:r>
        <w:rPr>
          <w:rFonts w:asciiTheme="minorHAnsi" w:eastAsiaTheme="minorHAnsi" w:hAnsiTheme="minorHAnsi" w:cs="David"/>
          <w:sz w:val="28"/>
          <w:szCs w:val="28"/>
          <w:rtl/>
        </w:rPr>
        <w:tab/>
      </w:r>
      <w:r>
        <w:rPr>
          <w:rFonts w:asciiTheme="minorHAnsi" w:eastAsiaTheme="minorHAnsi" w:hAnsiTheme="minorHAnsi" w:cs="David"/>
          <w:sz w:val="28"/>
          <w:szCs w:val="28"/>
          <w:rtl/>
        </w:rPr>
        <w:tab/>
      </w:r>
      <w:r>
        <w:rPr>
          <w:rFonts w:asciiTheme="minorHAnsi" w:eastAsiaTheme="minorHAnsi" w:hAnsiTheme="minorHAnsi" w:cs="David"/>
          <w:sz w:val="24"/>
          <w:szCs w:val="24"/>
          <w:rtl/>
        </w:rPr>
        <w:t xml:space="preserve">                </w:t>
      </w:r>
    </w:p>
    <w:p w:rsidR="002804D1" w:rsidRPr="004B0B2E" w:rsidRDefault="002804D1" w:rsidP="00CA1400">
      <w:pPr>
        <w:jc w:val="right"/>
        <w:rPr>
          <w:rFonts w:asciiTheme="minorHAnsi" w:eastAsiaTheme="minorHAnsi" w:hAnsiTheme="minorHAnsi" w:cs="David"/>
          <w:color w:val="2F5496" w:themeColor="accent5" w:themeShade="BF"/>
          <w:sz w:val="24"/>
          <w:szCs w:val="24"/>
          <w:rtl/>
        </w:rPr>
      </w:pPr>
      <w:r w:rsidRPr="004B0B2E">
        <w:rPr>
          <w:rFonts w:asciiTheme="minorHAnsi" w:eastAsiaTheme="minorHAnsi" w:hAnsiTheme="minorHAnsi" w:cs="David"/>
          <w:b/>
          <w:bCs/>
          <w:color w:val="2F5496" w:themeColor="accent5" w:themeShade="BF"/>
          <w:sz w:val="24"/>
          <w:szCs w:val="24"/>
          <w:rtl/>
        </w:rPr>
        <w:t xml:space="preserve">תאריך: </w:t>
      </w:r>
      <w:r w:rsidR="00CA1400">
        <w:rPr>
          <w:rFonts w:asciiTheme="minorHAnsi" w:eastAsiaTheme="minorHAnsi" w:hAnsiTheme="minorHAnsi" w:cs="David" w:hint="cs"/>
          <w:b/>
          <w:bCs/>
          <w:color w:val="2F5496" w:themeColor="accent5" w:themeShade="BF"/>
          <w:sz w:val="24"/>
          <w:szCs w:val="24"/>
          <w:rtl/>
        </w:rPr>
        <w:t>23</w:t>
      </w:r>
      <w:r w:rsidRPr="004B0B2E">
        <w:rPr>
          <w:rFonts w:asciiTheme="minorHAnsi" w:eastAsiaTheme="minorHAnsi" w:hAnsiTheme="minorHAnsi" w:cs="David"/>
          <w:b/>
          <w:bCs/>
          <w:color w:val="2F5496" w:themeColor="accent5" w:themeShade="BF"/>
          <w:sz w:val="24"/>
          <w:szCs w:val="24"/>
          <w:rtl/>
        </w:rPr>
        <w:t>/</w:t>
      </w:r>
      <w:r w:rsidR="00CA1400">
        <w:rPr>
          <w:rFonts w:asciiTheme="minorHAnsi" w:eastAsiaTheme="minorHAnsi" w:hAnsiTheme="minorHAnsi" w:cs="David" w:hint="cs"/>
          <w:b/>
          <w:bCs/>
          <w:color w:val="2F5496" w:themeColor="accent5" w:themeShade="BF"/>
          <w:sz w:val="24"/>
          <w:szCs w:val="24"/>
          <w:rtl/>
        </w:rPr>
        <w:t>06</w:t>
      </w:r>
      <w:r w:rsidRPr="004B0B2E">
        <w:rPr>
          <w:rFonts w:asciiTheme="minorHAnsi" w:eastAsiaTheme="minorHAnsi" w:hAnsiTheme="minorHAnsi" w:cs="David"/>
          <w:b/>
          <w:bCs/>
          <w:color w:val="2F5496" w:themeColor="accent5" w:themeShade="BF"/>
          <w:sz w:val="24"/>
          <w:szCs w:val="24"/>
          <w:rtl/>
        </w:rPr>
        <w:t>/</w:t>
      </w:r>
      <w:r w:rsidR="00270760">
        <w:rPr>
          <w:rFonts w:asciiTheme="minorHAnsi" w:eastAsiaTheme="minorHAnsi" w:hAnsiTheme="minorHAnsi" w:cs="David" w:hint="cs"/>
          <w:b/>
          <w:bCs/>
          <w:color w:val="2F5496" w:themeColor="accent5" w:themeShade="BF"/>
          <w:sz w:val="24"/>
          <w:szCs w:val="24"/>
          <w:rtl/>
        </w:rPr>
        <w:t>2024</w:t>
      </w:r>
    </w:p>
    <w:p w:rsidR="002804D1" w:rsidRPr="004B0B2E" w:rsidRDefault="002804D1" w:rsidP="002804D1">
      <w:pPr>
        <w:ind w:left="0" w:firstLine="0"/>
        <w:jc w:val="left"/>
        <w:rPr>
          <w:rFonts w:asciiTheme="minorHAnsi" w:eastAsiaTheme="minorHAnsi" w:hAnsiTheme="minorHAnsi" w:cs="David"/>
          <w:b/>
          <w:bCs/>
          <w:color w:val="2F5496" w:themeColor="accent5" w:themeShade="BF"/>
          <w:sz w:val="28"/>
          <w:szCs w:val="28"/>
        </w:rPr>
      </w:pPr>
      <w:r w:rsidRPr="004B0B2E">
        <w:rPr>
          <w:rFonts w:asciiTheme="minorHAnsi" w:eastAsiaTheme="minorHAnsi" w:hAnsiTheme="minorHAnsi" w:cs="David"/>
          <w:b/>
          <w:bCs/>
          <w:color w:val="2F5496" w:themeColor="accent5" w:themeShade="BF"/>
          <w:sz w:val="28"/>
          <w:szCs w:val="28"/>
          <w:rtl/>
        </w:rPr>
        <w:t xml:space="preserve">לעיריית עפולה דרוש/ה </w:t>
      </w:r>
    </w:p>
    <w:p w:rsidR="002804D1" w:rsidRPr="004B0B2E" w:rsidRDefault="00851E27" w:rsidP="00851E27">
      <w:pPr>
        <w:ind w:left="0" w:firstLine="0"/>
        <w:jc w:val="left"/>
        <w:rPr>
          <w:rFonts w:cs="David"/>
          <w:color w:val="2F5496" w:themeColor="accent5" w:themeShade="BF"/>
          <w:rtl/>
        </w:rPr>
      </w:pPr>
      <w:r>
        <w:rPr>
          <w:rFonts w:asciiTheme="minorBidi" w:hAnsiTheme="minorBidi" w:cs="David"/>
          <w:b/>
          <w:bCs/>
          <w:color w:val="2F5496" w:themeColor="accent5" w:themeShade="BF"/>
          <w:sz w:val="28"/>
          <w:szCs w:val="28"/>
          <w:rtl/>
        </w:rPr>
        <w:t xml:space="preserve">עובד/ת סוציאלי/ת </w:t>
      </w:r>
      <w:r>
        <w:rPr>
          <w:rFonts w:asciiTheme="minorBidi" w:hAnsiTheme="minorBidi" w:cs="David" w:hint="cs"/>
          <w:b/>
          <w:bCs/>
          <w:color w:val="2F5496" w:themeColor="accent5" w:themeShade="BF"/>
          <w:sz w:val="28"/>
          <w:szCs w:val="28"/>
          <w:rtl/>
        </w:rPr>
        <w:t>לאזרח הוותיק</w:t>
      </w:r>
    </w:p>
    <w:p w:rsidR="002804D1" w:rsidRDefault="002804D1" w:rsidP="002804D1">
      <w:pPr>
        <w:ind w:left="0" w:firstLine="0"/>
        <w:jc w:val="left"/>
        <w:rPr>
          <w:rFonts w:cs="David"/>
          <w:color w:val="70AD47" w:themeColor="accent6"/>
          <w:rtl/>
        </w:rPr>
      </w:pP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  <w:r>
        <w:rPr>
          <w:rFonts w:cs="David"/>
          <w:color w:val="70AD47" w:themeColor="accent6"/>
          <w:rtl/>
        </w:rPr>
        <w:tab/>
      </w:r>
    </w:p>
    <w:p w:rsidR="002804D1" w:rsidRDefault="002804D1" w:rsidP="002804D1">
      <w:pPr>
        <w:jc w:val="right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-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166"/>
      </w:tblGrid>
      <w:tr w:rsidR="002804D1" w:rsidTr="00B733B7">
        <w:trPr>
          <w:trHeight w:val="19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B733B7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733B7">
              <w:rPr>
                <w:rFonts w:cs="David"/>
                <w:b/>
                <w:bCs/>
                <w:sz w:val="24"/>
                <w:szCs w:val="24"/>
                <w:rtl/>
              </w:rPr>
              <w:t xml:space="preserve">המשרה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Default="002804D1" w:rsidP="00851E27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 xml:space="preserve">עובד/ת סוציאלי/ת </w:t>
            </w:r>
            <w:r w:rsidR="00851E27">
              <w:rPr>
                <w:rFonts w:cs="David" w:hint="cs"/>
                <w:sz w:val="24"/>
                <w:szCs w:val="24"/>
                <w:rtl/>
              </w:rPr>
              <w:t>לאזרח הוותיק</w:t>
            </w:r>
          </w:p>
          <w:p w:rsidR="002804D1" w:rsidRDefault="002804D1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/>
                <w:b/>
                <w:bCs/>
                <w:noProof/>
                <w:sz w:val="20"/>
                <w:szCs w:val="24"/>
                <w:rtl/>
                <w:lang w:eastAsia="he-IL"/>
              </w:rPr>
              <w:t>*מדובר במשרה ייעודית ותלויית אישור תקציבי משרד הרווחה.</w:t>
            </w:r>
          </w:p>
        </w:tc>
      </w:tr>
      <w:tr w:rsidR="002804D1" w:rsidTr="00B733B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B733B7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733B7">
              <w:rPr>
                <w:rFonts w:cs="David"/>
                <w:b/>
                <w:bCs/>
                <w:sz w:val="24"/>
                <w:szCs w:val="24"/>
                <w:rtl/>
              </w:rPr>
              <w:t>דירוג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Default="002804D1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עובדים סוציאליים.</w:t>
            </w:r>
          </w:p>
        </w:tc>
      </w:tr>
      <w:tr w:rsidR="002804D1" w:rsidTr="00B733B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B733B7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733B7">
              <w:rPr>
                <w:rFonts w:cs="David"/>
                <w:b/>
                <w:bCs/>
                <w:sz w:val="24"/>
                <w:szCs w:val="24"/>
                <w:rtl/>
              </w:rPr>
              <w:t>דרגה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Default="00416683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הדרגות יקבעו לפי הכללים הקבועים בהסכם הקיבוצי.</w:t>
            </w:r>
          </w:p>
        </w:tc>
      </w:tr>
      <w:tr w:rsidR="002804D1" w:rsidTr="00B733B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B733B7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733B7">
              <w:rPr>
                <w:rFonts w:cs="David"/>
                <w:b/>
                <w:bCs/>
                <w:sz w:val="24"/>
                <w:szCs w:val="24"/>
                <w:rtl/>
              </w:rPr>
              <w:t>היקף משרה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270760" w:rsidRDefault="004A34A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70760">
              <w:rPr>
                <w:rFonts w:cs="David" w:hint="cs"/>
                <w:b/>
                <w:bCs/>
                <w:sz w:val="24"/>
                <w:szCs w:val="24"/>
                <w:rtl/>
              </w:rPr>
              <w:t>100</w:t>
            </w:r>
            <w:r w:rsidR="00B733B7" w:rsidRPr="00270760">
              <w:rPr>
                <w:rFonts w:cs="David" w:hint="cs"/>
                <w:b/>
                <w:bCs/>
                <w:sz w:val="24"/>
                <w:szCs w:val="24"/>
                <w:rtl/>
              </w:rPr>
              <w:t>%</w:t>
            </w:r>
            <w:r w:rsidR="004806A5" w:rsidRPr="0027076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משרה.</w:t>
            </w:r>
          </w:p>
        </w:tc>
      </w:tr>
      <w:tr w:rsidR="002804D1" w:rsidTr="00B733B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Pr="00B733B7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733B7">
              <w:rPr>
                <w:rFonts w:cs="David"/>
                <w:b/>
                <w:bCs/>
                <w:sz w:val="24"/>
                <w:szCs w:val="24"/>
                <w:rtl/>
              </w:rPr>
              <w:t>תיאור התפקיד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 xml:space="preserve">מטפל </w:t>
            </w:r>
            <w:r w:rsidRPr="00851E27">
              <w:rPr>
                <w:rFonts w:cs="David" w:hint="cs"/>
                <w:sz w:val="24"/>
                <w:szCs w:val="24"/>
                <w:rtl/>
              </w:rPr>
              <w:t>באזרחים וותיקים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במטרה </w:t>
            </w:r>
            <w:r>
              <w:rPr>
                <w:rFonts w:cs="David" w:hint="cs"/>
                <w:sz w:val="24"/>
                <w:szCs w:val="24"/>
                <w:rtl/>
              </w:rPr>
              <w:t>לשפר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51E27">
              <w:rPr>
                <w:rFonts w:cs="David" w:hint="cs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>פ</w:t>
            </w:r>
            <w:r w:rsidRPr="00851E27">
              <w:rPr>
                <w:rFonts w:cs="David" w:hint="cs"/>
                <w:sz w:val="24"/>
                <w:szCs w:val="24"/>
                <w:rtl/>
              </w:rPr>
              <w:t>קודם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האישי</w:t>
            </w:r>
            <w:r>
              <w:rPr>
                <w:rFonts w:cs="David" w:hint="cs"/>
                <w:sz w:val="24"/>
                <w:szCs w:val="24"/>
                <w:rtl/>
              </w:rPr>
              <w:t>,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המשפחתי</w:t>
            </w:r>
            <w:r>
              <w:rPr>
                <w:rFonts w:cs="David" w:hint="cs"/>
                <w:sz w:val="24"/>
                <w:szCs w:val="24"/>
                <w:rtl/>
              </w:rPr>
              <w:t>,</w:t>
            </w:r>
            <w:r>
              <w:rPr>
                <w:rFonts w:cs="David"/>
                <w:sz w:val="24"/>
                <w:szCs w:val="24"/>
                <w:rtl/>
              </w:rPr>
              <w:t xml:space="preserve"> והחברתי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ע"י ייעוץ, טיפול ישיר ועקיף והפניה למוסדות ושרותים רלבנטיים עפ"י השיטות והמיומנויות המקובלות במקצוע. פועל בהתאם למדיניות משרד העבודה והרווחה והמחלקה לש"ח. 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מפתח ומקיים קשרים עם אנשים ומוסדות בקהילה למען קידום שרותי המחלקה וטיפול באוכלוסיות היעד של המוסדות האלה (שלוחה).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משפר מצבן של אוכלוסיות שבטיפולו באמצעות הפעלת תכניות אישיות, משפחתיות, קבוצתיות וקהילתיות.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מקיים מפגשים ושיחות עם הזקנים לצורך איתור וטיפול.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 xml:space="preserve">מקיים קשר עם </w:t>
            </w:r>
            <w:r w:rsidRPr="00851E27">
              <w:rPr>
                <w:rFonts w:cs="David" w:hint="cs"/>
                <w:sz w:val="24"/>
                <w:szCs w:val="24"/>
                <w:rtl/>
              </w:rPr>
              <w:t>האזרחים הוותיקים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במוסדות ועורך שם ביקורים לשם הבטחת המשכיות הטיפול.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נוקט יוזמה לאיתור בעיות וצרכים חברתיים בקהילה ומציגם לפי הממונים עליו.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מפעיל, מדריך ומנחה עובדים סמך-מקצועיים ומתנדבים (לאחר שקיבל הכשרה מתאימה לכך).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מבצע את עבודתו לפי תכנית עבודה. מתחיל ומסיים טיפולים בצורה מבוקרת.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מנהל רישום ומעקב אחר התכניות הטיפוליות ומדווח לממונים בכתב ובע"פ, כנדרש.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משתתף בוועדות ובדיונים בהתאם להנחית הממונה.</w:t>
            </w:r>
          </w:p>
          <w:p w:rsidR="00851E27" w:rsidRPr="00851E27" w:rsidRDefault="00851E27" w:rsidP="00851E27">
            <w:pPr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>מפעיל חוקים ותקנות רלוונטיים לצרכי הטיפול.</w:t>
            </w:r>
          </w:p>
          <w:p w:rsidR="002804D1" w:rsidRPr="00851E27" w:rsidRDefault="00851E27" w:rsidP="00851E27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 w:rsidRPr="00851E27">
              <w:rPr>
                <w:rFonts w:cs="David"/>
                <w:sz w:val="24"/>
                <w:szCs w:val="24"/>
                <w:rtl/>
              </w:rPr>
              <w:t xml:space="preserve">חבר פעיל בצוות השכונתי או במדור </w:t>
            </w:r>
            <w:r w:rsidRPr="00851E27">
              <w:rPr>
                <w:rFonts w:cs="David" w:hint="cs"/>
                <w:sz w:val="24"/>
                <w:szCs w:val="24"/>
                <w:rtl/>
              </w:rPr>
              <w:t>לאזרח הוותיק</w:t>
            </w:r>
            <w:r w:rsidRPr="00851E27">
              <w:rPr>
                <w:rFonts w:cs="David"/>
                <w:sz w:val="24"/>
                <w:szCs w:val="24"/>
                <w:rtl/>
              </w:rPr>
              <w:t xml:space="preserve"> כולל בקביעת סדרי העדיפויות בצוות או במדור ושותף באחריות הכוללת לאוכלוסייה.</w:t>
            </w:r>
          </w:p>
        </w:tc>
      </w:tr>
      <w:tr w:rsidR="002804D1" w:rsidTr="00066B0B">
        <w:trPr>
          <w:trHeight w:val="11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806A5">
              <w:rPr>
                <w:rFonts w:cs="David"/>
                <w:b/>
                <w:bCs/>
                <w:sz w:val="24"/>
                <w:szCs w:val="24"/>
                <w:rtl/>
              </w:rPr>
              <w:t>תנאי סף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D1" w:rsidRDefault="002804D1">
            <w:pPr>
              <w:spacing w:line="276" w:lineRule="auto"/>
              <w:rPr>
                <w:rFonts w:cs="David"/>
                <w:sz w:val="24"/>
                <w:szCs w:val="24"/>
                <w:u w:val="single"/>
                <w:rtl/>
              </w:rPr>
            </w:pPr>
            <w:r>
              <w:rPr>
                <w:rFonts w:cs="David"/>
                <w:sz w:val="24"/>
                <w:szCs w:val="24"/>
                <w:u w:val="single"/>
                <w:rtl/>
              </w:rPr>
              <w:t>השכלה ודרישות מקצועיות</w:t>
            </w:r>
          </w:p>
          <w:p w:rsidR="002804D1" w:rsidRDefault="002804D1" w:rsidP="007206CB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תואר ראשון בעבודה סוציאלית.</w:t>
            </w:r>
          </w:p>
          <w:p w:rsidR="002804D1" w:rsidRDefault="002804D1" w:rsidP="007206CB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 xml:space="preserve">רישום בפנקס העובדים הסוציאליים. </w:t>
            </w:r>
          </w:p>
          <w:p w:rsidR="00D7418F" w:rsidRPr="00066B0B" w:rsidRDefault="00D7418F" w:rsidP="00066B0B">
            <w:pPr>
              <w:spacing w:line="276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4806A5" w:rsidTr="004806A5">
        <w:trPr>
          <w:trHeight w:val="4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5" w:rsidRPr="004806A5" w:rsidRDefault="004806A5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כפיפות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5" w:rsidRDefault="004806A5" w:rsidP="004806A5">
            <w:pPr>
              <w:spacing w:line="276" w:lineRule="auto"/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מנהלת אגף השירותים החברתיים</w:t>
            </w:r>
          </w:p>
        </w:tc>
      </w:tr>
      <w:tr w:rsidR="002804D1" w:rsidTr="00B733B7">
        <w:trPr>
          <w:trHeight w:val="241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804D1" w:rsidRPr="004806A5" w:rsidRDefault="002804D1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806A5">
              <w:rPr>
                <w:rFonts w:cs="David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1" w:rsidRDefault="002804D1">
            <w:pPr>
              <w:spacing w:line="276" w:lineRule="auto"/>
              <w:jc w:val="left"/>
              <w:rPr>
                <w:rFonts w:cs="David"/>
                <w:sz w:val="24"/>
                <w:szCs w:val="24"/>
                <w:rtl/>
              </w:rPr>
            </w:pP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בקשות למכרז יש להגיש אך ורק על גבי טפסים אותם ניתן לקבל במחלקת הון אנושי או באתר העירייה, בצירוף קורות חיים ותעודות המעידות על כישורי המועמד והמלצות. </w:t>
            </w:r>
          </w:p>
          <w:p w:rsidR="004806A5" w:rsidRPr="00B733B7" w:rsidRDefault="004806A5" w:rsidP="00CA1400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את הטפסים יש להגיש במחלקת הון אנושי, קומה א' בבניין העירייה, רח' יהושע חנקין 47 עפולה, עד ליום </w:t>
            </w:r>
            <w:r w:rsidR="00CA1400">
              <w:rPr>
                <w:rFonts w:ascii="David" w:hAnsi="David" w:cs="David" w:hint="cs"/>
                <w:sz w:val="24"/>
                <w:szCs w:val="24"/>
                <w:rtl/>
              </w:rPr>
              <w:t>רביעי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="00CA1400"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="00CA1400">
              <w:rPr>
                <w:rFonts w:ascii="David" w:hAnsi="David" w:cs="David" w:hint="cs"/>
                <w:sz w:val="24"/>
                <w:szCs w:val="24"/>
                <w:rtl/>
              </w:rPr>
              <w:t>07</w:t>
            </w:r>
            <w:bookmarkStart w:id="0" w:name="_GoBack"/>
            <w:bookmarkEnd w:id="0"/>
            <w:r w:rsidRPr="00B733B7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="00270760">
              <w:rPr>
                <w:rFonts w:ascii="David" w:hAnsi="David" w:cs="David" w:hint="cs"/>
                <w:sz w:val="24"/>
                <w:szCs w:val="24"/>
                <w:rtl/>
              </w:rPr>
              <w:t>2024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>, בשעה 12:00.</w:t>
            </w:r>
            <w:r w:rsidRPr="00B733B7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ניתן להגיש מועמדות גם במייל: </w:t>
            </w:r>
            <w:hyperlink r:id="rId7" w:history="1">
              <w:r>
                <w:rPr>
                  <w:rStyle w:val="Hyperlink"/>
                  <w:rFonts w:ascii="David" w:hAnsi="David" w:cs="David"/>
                  <w:sz w:val="24"/>
                  <w:szCs w:val="24"/>
                </w:rPr>
                <w:t>hr</w:t>
              </w:r>
              <w:r w:rsidRPr="00B733B7">
                <w:rPr>
                  <w:rStyle w:val="Hyperlink"/>
                  <w:rFonts w:ascii="David" w:hAnsi="David" w:cs="David"/>
                  <w:sz w:val="24"/>
                  <w:szCs w:val="24"/>
                </w:rPr>
                <w:t>@afula.muni.il</w:t>
              </w:r>
            </w:hyperlink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 או בפקס: 04-6520419. </w:t>
            </w:r>
            <w:r w:rsidRPr="00B733B7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אחריות ואישור קבלת ההגשה על המועמד/ת.</w:t>
            </w: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בקשות שתגענה ללא כל המסמכים והתעודות המעידות על כישורי המועמד לא תובאנה לדיון. </w:t>
            </w:r>
          </w:p>
          <w:p w:rsidR="004806A5" w:rsidRPr="00B733B7" w:rsidRDefault="004806A5" w:rsidP="004806A5">
            <w:pPr>
              <w:framePr w:hSpace="180" w:wrap="around" w:vAnchor="text" w:hAnchor="margin" w:xAlign="center" w:y="76"/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כל מקום בו מפורט תיאור התפקיד בלשון זכר, הכוונה גם ללשון נקבה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lastRenderedPageBreak/>
              <w:t>תינתן זכאות לקבלת התאמות בהליכי הקבלה לעבודה למועמדים עם מוגבלות, ככל שהדבר יידרש (יש לציין אילו התאמות נדרשות).</w:t>
            </w: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המועמדים המתאימים יוזמנו להבחן בפני ועדת בוחנים.</w:t>
            </w:r>
          </w:p>
          <w:p w:rsidR="004806A5" w:rsidRPr="00B733B7" w:rsidRDefault="004806A5" w:rsidP="004806A5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העירייה שומרת לעצמה את הזכות לזמן מועמדים למבחני הערכה חיצוניים, בהתאם לאופי ודרישות התפקיד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33B7">
              <w:rPr>
                <w:rFonts w:ascii="David" w:hAnsi="David" w:cs="David" w:hint="cs"/>
                <w:sz w:val="24"/>
                <w:szCs w:val="24"/>
                <w:rtl/>
              </w:rPr>
              <w:t>מועמדים עם מוגבלות זכאים לקבל התאמות במבחנים בהתאם להצגת לאישורים רפואיים מתאימים. מועמד – עולה חדש (במועד המיון טרם מלאו 10 שנים למגוריו בארץ) יכול לבקש להבחן שלא בעברית בתנאי שידיעת השפה העברית אינה דרישה מהותית במכרז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  <w:r w:rsidRPr="00B733B7">
              <w:rPr>
                <w:rFonts w:cs="David"/>
                <w:sz w:val="24"/>
                <w:szCs w:val="24"/>
                <w:rtl/>
              </w:rPr>
              <w:t xml:space="preserve"> העירייה תהא רשאית לזמן לוועדת מכרזים את 8 המועמדים עם הציון הגבוה במבחן ולא יותר מ-16 מועמדים לכל היותר.</w:t>
            </w:r>
          </w:p>
          <w:p w:rsidR="002804D1" w:rsidRDefault="004806A5" w:rsidP="004806A5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</w:rPr>
            </w:pPr>
            <w:r w:rsidRPr="008157D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עדיפות תינתן למועמד/ת המשתייך/ת לאוכלוסייה הזכאית לייצוג הולם שאינה מיוצגת באופן הולם בקרב עובדי הרשות המקומית, ובלבד שמדובר במועמד/ת בעל/ת כישורים דומים לכישוריהם של מועמדים אחרים</w:t>
            </w:r>
          </w:p>
        </w:tc>
      </w:tr>
    </w:tbl>
    <w:p w:rsidR="002804D1" w:rsidRDefault="002804D1" w:rsidP="002804D1">
      <w:pPr>
        <w:rPr>
          <w:rFonts w:cs="David"/>
          <w:sz w:val="24"/>
          <w:szCs w:val="24"/>
          <w:rtl/>
        </w:rPr>
      </w:pPr>
    </w:p>
    <w:sectPr w:rsidR="002804D1" w:rsidSect="00C1427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F3" w:rsidRDefault="00B10EF3" w:rsidP="00C17598">
      <w:r>
        <w:separator/>
      </w:r>
    </w:p>
  </w:endnote>
  <w:endnote w:type="continuationSeparator" w:id="0">
    <w:p w:rsidR="00B10EF3" w:rsidRDefault="00B10EF3" w:rsidP="00C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F3" w:rsidRDefault="00B10EF3" w:rsidP="00C17598">
      <w:r>
        <w:separator/>
      </w:r>
    </w:p>
  </w:footnote>
  <w:footnote w:type="continuationSeparator" w:id="0">
    <w:p w:rsidR="00B10EF3" w:rsidRDefault="00B10EF3" w:rsidP="00C1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598" w:rsidRDefault="00B10EF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384955" o:spid="_x0000_s2049" type="#_x0000_t75" style="position:absolute;left:0;text-align:left;margin-left:-89.25pt;margin-top:-96pt;width:595.45pt;height:842.4pt;z-index:-251658752;mso-position-horizontal-relative:margin;mso-position-vertical-relative:margin" o:allowincell="f">
          <v:imagedata r:id="rId1" o:title="הון אנוש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214C"/>
    <w:multiLevelType w:val="hybridMultilevel"/>
    <w:tmpl w:val="3F506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01D2F"/>
    <w:multiLevelType w:val="hybridMultilevel"/>
    <w:tmpl w:val="850ED2DA"/>
    <w:lvl w:ilvl="0" w:tplc="AB521D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12" w:hanging="360"/>
      </w:pPr>
    </w:lvl>
    <w:lvl w:ilvl="2" w:tplc="0409001B">
      <w:start w:val="1"/>
      <w:numFmt w:val="lowerRoman"/>
      <w:lvlText w:val="%3."/>
      <w:lvlJc w:val="right"/>
      <w:pPr>
        <w:ind w:left="1732" w:hanging="180"/>
      </w:pPr>
    </w:lvl>
    <w:lvl w:ilvl="3" w:tplc="0409000F">
      <w:start w:val="1"/>
      <w:numFmt w:val="decimal"/>
      <w:lvlText w:val="%4."/>
      <w:lvlJc w:val="left"/>
      <w:pPr>
        <w:ind w:left="2452" w:hanging="360"/>
      </w:pPr>
    </w:lvl>
    <w:lvl w:ilvl="4" w:tplc="04090019">
      <w:start w:val="1"/>
      <w:numFmt w:val="lowerLetter"/>
      <w:lvlText w:val="%5."/>
      <w:lvlJc w:val="left"/>
      <w:pPr>
        <w:ind w:left="3172" w:hanging="360"/>
      </w:pPr>
    </w:lvl>
    <w:lvl w:ilvl="5" w:tplc="0409001B">
      <w:start w:val="1"/>
      <w:numFmt w:val="lowerRoman"/>
      <w:lvlText w:val="%6."/>
      <w:lvlJc w:val="right"/>
      <w:pPr>
        <w:ind w:left="3892" w:hanging="180"/>
      </w:pPr>
    </w:lvl>
    <w:lvl w:ilvl="6" w:tplc="0409000F">
      <w:start w:val="1"/>
      <w:numFmt w:val="decimal"/>
      <w:lvlText w:val="%7."/>
      <w:lvlJc w:val="left"/>
      <w:pPr>
        <w:ind w:left="4612" w:hanging="360"/>
      </w:pPr>
    </w:lvl>
    <w:lvl w:ilvl="7" w:tplc="04090019">
      <w:start w:val="1"/>
      <w:numFmt w:val="lowerLetter"/>
      <w:lvlText w:val="%8."/>
      <w:lvlJc w:val="left"/>
      <w:pPr>
        <w:ind w:left="5332" w:hanging="360"/>
      </w:pPr>
    </w:lvl>
    <w:lvl w:ilvl="8" w:tplc="0409001B">
      <w:start w:val="1"/>
      <w:numFmt w:val="lowerRoman"/>
      <w:lvlText w:val="%9."/>
      <w:lvlJc w:val="right"/>
      <w:pPr>
        <w:ind w:left="6052" w:hanging="180"/>
      </w:pPr>
    </w:lvl>
  </w:abstractNum>
  <w:abstractNum w:abstractNumId="2" w15:restartNumberingAfterBreak="0">
    <w:nsid w:val="432E7876"/>
    <w:multiLevelType w:val="hybridMultilevel"/>
    <w:tmpl w:val="A79A359A"/>
    <w:lvl w:ilvl="0" w:tplc="5A22442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40F38"/>
    <w:multiLevelType w:val="hybridMultilevel"/>
    <w:tmpl w:val="119A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0B9"/>
    <w:multiLevelType w:val="hybridMultilevel"/>
    <w:tmpl w:val="1F3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2C37"/>
    <w:multiLevelType w:val="hybridMultilevel"/>
    <w:tmpl w:val="D0389EEC"/>
    <w:lvl w:ilvl="0" w:tplc="F5682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D798D"/>
    <w:multiLevelType w:val="hybridMultilevel"/>
    <w:tmpl w:val="F236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5E5"/>
    <w:multiLevelType w:val="hybridMultilevel"/>
    <w:tmpl w:val="E854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E7A61"/>
    <w:multiLevelType w:val="hybridMultilevel"/>
    <w:tmpl w:val="6AB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8"/>
    <w:rsid w:val="0002248D"/>
    <w:rsid w:val="00066B0B"/>
    <w:rsid w:val="00184132"/>
    <w:rsid w:val="00270760"/>
    <w:rsid w:val="002804D1"/>
    <w:rsid w:val="00416683"/>
    <w:rsid w:val="004806A5"/>
    <w:rsid w:val="004A34AA"/>
    <w:rsid w:val="004B0B2E"/>
    <w:rsid w:val="007949FB"/>
    <w:rsid w:val="008157DE"/>
    <w:rsid w:val="00851E27"/>
    <w:rsid w:val="009E2E8F"/>
    <w:rsid w:val="00A771EA"/>
    <w:rsid w:val="00B10EF3"/>
    <w:rsid w:val="00B733B7"/>
    <w:rsid w:val="00C14275"/>
    <w:rsid w:val="00C17598"/>
    <w:rsid w:val="00CA1400"/>
    <w:rsid w:val="00D7418F"/>
    <w:rsid w:val="00DD64E2"/>
    <w:rsid w:val="00E414AC"/>
    <w:rsid w:val="00F10348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0853F5"/>
  <w15:chartTrackingRefBased/>
  <w15:docId w15:val="{215C3539-4DDB-41F6-A58D-60E96AE2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D1"/>
    <w:pPr>
      <w:bidi/>
      <w:spacing w:after="0" w:line="240" w:lineRule="auto"/>
      <w:ind w:left="446" w:hanging="446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59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7598"/>
  </w:style>
  <w:style w:type="paragraph" w:styleId="a5">
    <w:name w:val="footer"/>
    <w:basedOn w:val="a"/>
    <w:link w:val="a6"/>
    <w:uiPriority w:val="99"/>
    <w:unhideWhenUsed/>
    <w:rsid w:val="00C1759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17598"/>
  </w:style>
  <w:style w:type="character" w:styleId="Hyperlink">
    <w:name w:val="Hyperlink"/>
    <w:basedOn w:val="a0"/>
    <w:uiPriority w:val="99"/>
    <w:semiHidden/>
    <w:unhideWhenUsed/>
    <w:rsid w:val="002804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804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04D1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804D1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ytal@afula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אליהו</dc:creator>
  <cp:keywords/>
  <dc:description/>
  <cp:lastModifiedBy>קסם זנו</cp:lastModifiedBy>
  <cp:revision>2</cp:revision>
  <cp:lastPrinted>2024-06-23T12:10:00Z</cp:lastPrinted>
  <dcterms:created xsi:type="dcterms:W3CDTF">2024-06-23T12:10:00Z</dcterms:created>
  <dcterms:modified xsi:type="dcterms:W3CDTF">2024-06-23T12:10:00Z</dcterms:modified>
</cp:coreProperties>
</file>